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4E4283F3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3F6042" w:rsidRPr="0056576B">
        <w:rPr>
          <w:rFonts w:ascii="Times New Roman" w:hAnsi="Times New Roman"/>
        </w:rPr>
        <w:t xml:space="preserve">Mathematics </w:t>
      </w:r>
      <w:r w:rsidR="005814B7">
        <w:rPr>
          <w:rFonts w:ascii="Times New Roman" w:eastAsia="Times New Roman" w:hAnsi="Times New Roman"/>
        </w:rPr>
        <w:t>Equations, Inequalities, and Two-Dimensional Geometric Concepts</w:t>
      </w:r>
      <w:r w:rsidR="00A244D6" w:rsidRPr="00F358D9">
        <w:rPr>
          <w:rFonts w:ascii="Times New Roman" w:hAnsi="Times New Roman"/>
        </w:rPr>
        <w:t xml:space="preserve"> – Unit </w:t>
      </w:r>
      <w:r w:rsidR="005814B7">
        <w:rPr>
          <w:rFonts w:ascii="Times New Roman" w:eastAsia="Times New Roman" w:hAnsi="Times New Roman"/>
        </w:rPr>
        <w:t>2</w:t>
      </w:r>
      <w:r w:rsidR="00A244D6" w:rsidRPr="00F358D9">
        <w:rPr>
          <w:rFonts w:ascii="Times New Roman" w:hAnsi="Times New Roman"/>
        </w:rPr>
        <w:t xml:space="preserve"> – Module </w:t>
      </w:r>
      <w:r w:rsidR="005814B7">
        <w:rPr>
          <w:rFonts w:ascii="Times New Roman" w:eastAsia="Times New Roman" w:hAnsi="Times New Roman"/>
        </w:rPr>
        <w:t>C</w:t>
      </w:r>
    </w:p>
    <w:p w14:paraId="12AE012C" w14:textId="68CCCE74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F6042" w:rsidRPr="0056576B">
        <w:rPr>
          <w:rFonts w:ascii="Times New Roman" w:hAnsi="Times New Roman" w:cs="Times New Roman"/>
          <w:b/>
          <w:sz w:val="28"/>
          <w:szCs w:val="28"/>
        </w:rPr>
        <w:t xml:space="preserve">  G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rade </w:t>
      </w:r>
      <w:r w:rsidR="005814B7">
        <w:rPr>
          <w:rFonts w:ascii="Times New Roman" w:hAnsi="Times New Roman" w:cs="Times New Roman"/>
          <w:b/>
          <w:sz w:val="28"/>
          <w:szCs w:val="28"/>
        </w:rPr>
        <w:t>7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5B489E61" w14:textId="77777777" w:rsidR="00746B7D" w:rsidRDefault="00746B7D" w:rsidP="00746B7D"/>
    <w:p w14:paraId="1B74F514" w14:textId="47E09068" w:rsidR="00746B7D" w:rsidRDefault="00296971" w:rsidP="003249DC">
      <w:pPr>
        <w:pStyle w:val="Standard"/>
        <w:spacing w:after="20" w:line="240" w:lineRule="auto"/>
        <w:ind w:left="245" w:hanging="245"/>
      </w:pPr>
      <w:r w:rsidRPr="00417D39">
        <w:rPr>
          <w:rFonts w:eastAsia="Times New Roman"/>
          <w:b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26BA8913" wp14:editId="5D29574C">
                <wp:extent cx="118872" cy="118872"/>
                <wp:effectExtent l="0" t="0" r="33655" b="33655"/>
                <wp:docPr id="1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4B3538" w14:textId="77777777" w:rsidR="00296971" w:rsidRPr="0025693A" w:rsidRDefault="00296971" w:rsidP="00296971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BA8913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" fillcolor="#fff000" strokecolor="#7f7f7f [1612]" strokeweight=".5pt">
                <v:stroke joinstyle="miter"/>
                <v:textbox inset=",7.2pt,,0">
                  <w:txbxContent>
                    <w:p w14:paraId="534B3538" w14:textId="77777777" w:rsidR="00296971" w:rsidRPr="0025693A" w:rsidRDefault="00296971" w:rsidP="00296971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46B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7.G.B.4</w:t>
      </w:r>
      <w:r w:rsidR="00746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Know the formulas for the area and circumference of a circle and use them to solve problems; give an informal derivation of the</w:t>
      </w:r>
      <w:r w:rsidR="003249DC">
        <w:t xml:space="preserve"> </w:t>
      </w:r>
      <w:r w:rsidR="00746B7D">
        <w:rPr>
          <w:rFonts w:ascii="Times New Roman" w:eastAsia="Times New Roman" w:hAnsi="Times New Roman" w:cs="Times New Roman"/>
          <w:color w:val="000000"/>
          <w:sz w:val="24"/>
          <w:szCs w:val="24"/>
        </w:rPr>
        <w:t>relationship between the circumference and area of a circle.</w:t>
      </w:r>
    </w:p>
    <w:p w14:paraId="79349837" w14:textId="5582F4B8" w:rsidR="00746B7D" w:rsidRDefault="00296971" w:rsidP="003249DC">
      <w:pPr>
        <w:pStyle w:val="Standard"/>
        <w:spacing w:after="20" w:line="240" w:lineRule="auto"/>
        <w:ind w:left="245" w:hanging="245"/>
      </w:pPr>
      <w:r w:rsidRPr="00417D39">
        <w:rPr>
          <w:rFonts w:eastAsia="Times New Roman"/>
          <w:b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4F103C0A" wp14:editId="3CDC2D6A">
                <wp:extent cx="118872" cy="118872"/>
                <wp:effectExtent l="0" t="0" r="33655" b="33655"/>
                <wp:docPr id="2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06DDB2" w14:textId="77777777" w:rsidR="00296971" w:rsidRPr="0025693A" w:rsidRDefault="00296971" w:rsidP="00296971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103C0A" id="_x0000_s1027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" fillcolor="#fff000" strokecolor="#7f7f7f [1612]" strokeweight=".5pt">
                <v:stroke joinstyle="miter"/>
                <v:textbox inset=",7.2pt,,0">
                  <w:txbxContent>
                    <w:p w14:paraId="1606DDB2" w14:textId="77777777" w:rsidR="00296971" w:rsidRPr="0025693A" w:rsidRDefault="00296971" w:rsidP="00296971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46B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7.G.B.6</w:t>
      </w:r>
      <w:r w:rsidR="00746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Solve real-world and mathematical problems involving area, volume and surface area of two and three-dimensional objects composed of</w:t>
      </w:r>
      <w:r w:rsidR="003249DC">
        <w:t xml:space="preserve"> </w:t>
      </w:r>
      <w:r w:rsidR="00746B7D">
        <w:rPr>
          <w:rFonts w:ascii="Times New Roman" w:eastAsia="Times New Roman" w:hAnsi="Times New Roman" w:cs="Times New Roman"/>
          <w:color w:val="000000"/>
          <w:sz w:val="24"/>
          <w:szCs w:val="24"/>
        </w:rPr>
        <w:t>triangles, quadrilaterals, polygons, cubes, and right prisms.</w:t>
      </w:r>
    </w:p>
    <w:bookmarkStart w:id="0" w:name="_GoBack"/>
    <w:p w14:paraId="230EA01A" w14:textId="77777777" w:rsidR="003249DC" w:rsidRDefault="00296971" w:rsidP="00FA6C34">
      <w:pPr>
        <w:tabs>
          <w:tab w:val="left" w:pos="990"/>
        </w:tabs>
        <w:spacing w:after="0" w:line="240" w:lineRule="auto"/>
        <w:ind w:left="245" w:hanging="245"/>
        <w:rPr>
          <w:rFonts w:ascii="Times New Roman" w:hAnsi="Times New Roman" w:cs="Times New Roman"/>
          <w:sz w:val="24"/>
        </w:rPr>
      </w:pPr>
      <w:r w:rsidRPr="003249DC">
        <w:rPr>
          <w:rFonts w:ascii="Times New Roman" w:hAnsi="Times New Roman" w:cs="Times New Roman"/>
          <w:sz w:val="24"/>
        </w:rPr>
        <mc:AlternateContent>
          <mc:Choice Requires="wps">
            <w:drawing>
              <wp:inline distT="0" distB="0" distL="0" distR="0" wp14:anchorId="655BC298" wp14:editId="0C45362F">
                <wp:extent cx="118872" cy="118872"/>
                <wp:effectExtent l="0" t="0" r="33655" b="33655"/>
                <wp:docPr id="3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C716EB" w14:textId="77777777" w:rsidR="00296971" w:rsidRPr="0025693A" w:rsidRDefault="00296971" w:rsidP="00296971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5BC298" id="_x0000_s1028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" fillcolor="#fff000" strokecolor="#7f7f7f [1612]" strokeweight=".5pt">
                <v:stroke joinstyle="miter"/>
                <v:textbox inset=",7.2pt,,0">
                  <w:txbxContent>
                    <w:p w14:paraId="65C716EB" w14:textId="77777777" w:rsidR="00296971" w:rsidRPr="0025693A" w:rsidRDefault="00296971" w:rsidP="00296971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46B7D" w:rsidRPr="003249DC">
        <w:rPr>
          <w:rFonts w:ascii="Times New Roman" w:hAnsi="Times New Roman" w:cs="Times New Roman"/>
          <w:b/>
          <w:sz w:val="24"/>
        </w:rPr>
        <w:t>7.G.B.5</w:t>
      </w:r>
      <w:r w:rsidR="00746B7D" w:rsidRPr="003249DC">
        <w:rPr>
          <w:rFonts w:ascii="Times New Roman" w:hAnsi="Times New Roman" w:cs="Times New Roman"/>
          <w:sz w:val="24"/>
        </w:rPr>
        <w:t xml:space="preserve"> Use facts about supplementary, complementary, vertical, and adjacent angles in a multi-step problem to write and solve simple equations</w:t>
      </w:r>
      <w:r w:rsidR="003249DC">
        <w:rPr>
          <w:rFonts w:ascii="Times New Roman" w:hAnsi="Times New Roman" w:cs="Times New Roman"/>
          <w:sz w:val="24"/>
        </w:rPr>
        <w:t xml:space="preserve"> </w:t>
      </w:r>
      <w:r w:rsidR="00746B7D" w:rsidRPr="003249DC">
        <w:rPr>
          <w:rFonts w:ascii="Times New Roman" w:hAnsi="Times New Roman" w:cs="Times New Roman"/>
          <w:sz w:val="24"/>
        </w:rPr>
        <w:t>for an unknown angle in a figure.</w:t>
      </w:r>
    </w:p>
    <w:bookmarkEnd w:id="0"/>
    <w:p w14:paraId="1AD32616" w14:textId="01B54B19" w:rsidR="00F749C6" w:rsidRPr="00832D26" w:rsidRDefault="003F6042" w:rsidP="003249DC">
      <w:pPr>
        <w:tabs>
          <w:tab w:val="left" w:pos="990"/>
        </w:tabs>
        <w:spacing w:after="720" w:line="240" w:lineRule="auto"/>
        <w:rPr>
          <w:rFonts w:ascii="Times New Roman" w:hAnsi="Times New Roman" w:cs="Times New Roman"/>
        </w:rPr>
      </w:pPr>
      <w:r w:rsidRPr="0056576B">
        <w:t xml:space="preserve"> </w:t>
      </w: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6D118457" w14:textId="77777777" w:rsidR="00746B7D" w:rsidRPr="003249DC" w:rsidRDefault="00746B7D" w:rsidP="003249DC"/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34E20AD3" w:rsidR="002E2912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5EC61180" w14:textId="6F9A4BF7" w:rsidR="00A7522A" w:rsidRDefault="00A7522A" w:rsidP="00A7522A"/>
    <w:p w14:paraId="0D613539" w14:textId="65439429" w:rsidR="00A7522A" w:rsidRDefault="00A7522A">
      <w:r>
        <w:br w:type="page"/>
      </w: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C26792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65C4E302" w:rsidR="00C26792" w:rsidRPr="00C26792" w:rsidRDefault="00C26792" w:rsidP="00C2679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7.G.B.4 – WALT</w:t>
            </w:r>
            <w:r w:rsidRPr="00C26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know the formulas for area and circumference of a circle</w:t>
            </w:r>
          </w:p>
        </w:tc>
        <w:tc>
          <w:tcPr>
            <w:tcW w:w="2878" w:type="dxa"/>
          </w:tcPr>
          <w:p w14:paraId="569A3B3F" w14:textId="34B37ECD" w:rsidR="00C26792" w:rsidRPr="0056576B" w:rsidRDefault="00C26792" w:rsidP="00C2679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C26792" w:rsidRPr="0056576B" w:rsidRDefault="00C26792" w:rsidP="00C2679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C26792" w:rsidRPr="0056576B" w:rsidRDefault="00C26792" w:rsidP="00C2679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C26792" w:rsidRPr="0056576B" w:rsidRDefault="00C26792" w:rsidP="00C2679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C26792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4D45A44F" w:rsidR="00C26792" w:rsidRPr="00C26792" w:rsidRDefault="00C26792" w:rsidP="00C26792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7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7.G.B.4 – WALT</w:t>
            </w:r>
            <w:r w:rsidRPr="00C26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solve problems using the formula for circumference of a circle and for the area of a circle</w:t>
            </w:r>
          </w:p>
        </w:tc>
        <w:tc>
          <w:tcPr>
            <w:tcW w:w="2878" w:type="dxa"/>
          </w:tcPr>
          <w:p w14:paraId="31EFE459" w14:textId="77777777" w:rsidR="00C26792" w:rsidRPr="0056576B" w:rsidRDefault="00C26792" w:rsidP="00C2679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C26792" w:rsidRPr="0056576B" w:rsidRDefault="00C26792" w:rsidP="00C2679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C26792" w:rsidRPr="0056576B" w:rsidRDefault="00C26792" w:rsidP="00C2679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C26792" w:rsidRPr="0056576B" w:rsidRDefault="00C26792" w:rsidP="00C2679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C26792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03BD49B6" w:rsidR="00C26792" w:rsidRPr="00C26792" w:rsidRDefault="00C26792" w:rsidP="00C26792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7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7.G.B.4 – WALT</w:t>
            </w:r>
            <w:r w:rsidRPr="00C26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informally derive the relationship between the circumference and area of a circle</w:t>
            </w:r>
          </w:p>
        </w:tc>
        <w:tc>
          <w:tcPr>
            <w:tcW w:w="2878" w:type="dxa"/>
          </w:tcPr>
          <w:p w14:paraId="010B0DB9" w14:textId="77777777" w:rsidR="00C26792" w:rsidRPr="0056576B" w:rsidRDefault="00C26792" w:rsidP="00C2679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C26792" w:rsidRPr="0056576B" w:rsidRDefault="00C26792" w:rsidP="00C2679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C26792" w:rsidRPr="0056576B" w:rsidRDefault="00C26792" w:rsidP="00C2679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C26792" w:rsidRPr="0056576B" w:rsidRDefault="00C26792" w:rsidP="00C2679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C26792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0FC18AE2" w:rsidR="00C26792" w:rsidRPr="00C26792" w:rsidRDefault="00C26792" w:rsidP="00C26792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7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7.G.B.6 – WALT </w:t>
            </w:r>
            <w:r w:rsidRPr="00C26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solve real-world and mathematical problems involving area of two-dimensional objects composed of triangles, quadrilaterals, and polygons</w:t>
            </w:r>
          </w:p>
        </w:tc>
        <w:tc>
          <w:tcPr>
            <w:tcW w:w="2878" w:type="dxa"/>
          </w:tcPr>
          <w:p w14:paraId="7970C1A2" w14:textId="77777777" w:rsidR="00C26792" w:rsidRPr="0056576B" w:rsidRDefault="00C26792" w:rsidP="00C2679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C26792" w:rsidRPr="0056576B" w:rsidRDefault="00C26792" w:rsidP="00C2679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C26792" w:rsidRPr="0056576B" w:rsidRDefault="00C26792" w:rsidP="00C2679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C26792" w:rsidRPr="0056576B" w:rsidRDefault="00C26792" w:rsidP="00C2679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C26792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2A75DCD6" w14:textId="0EF9C9AF" w:rsidR="00C26792" w:rsidRPr="00C26792" w:rsidRDefault="00C26792" w:rsidP="00C26792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7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7.G.B.5- WALT </w:t>
            </w:r>
            <w:r w:rsidRPr="00C26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supplementary angles are two angles whose sum is 180 degrees and complementary angles are two angles whose sum is 90 degrees</w:t>
            </w:r>
          </w:p>
        </w:tc>
        <w:tc>
          <w:tcPr>
            <w:tcW w:w="2878" w:type="dxa"/>
          </w:tcPr>
          <w:p w14:paraId="06A5CCCC" w14:textId="77777777" w:rsidR="00C26792" w:rsidRPr="0056576B" w:rsidRDefault="00C26792" w:rsidP="00C2679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C26792" w:rsidRPr="0056576B" w:rsidRDefault="00C26792" w:rsidP="00C2679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C26792" w:rsidRPr="0056576B" w:rsidRDefault="00C26792" w:rsidP="00C2679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C26792" w:rsidRPr="0056576B" w:rsidRDefault="00C26792" w:rsidP="00C2679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C26792" w:rsidRPr="0056576B" w14:paraId="7C2D7C45" w14:textId="77777777" w:rsidTr="00751F34">
        <w:trPr>
          <w:trHeight w:val="1349"/>
        </w:trPr>
        <w:tc>
          <w:tcPr>
            <w:tcW w:w="2878" w:type="dxa"/>
          </w:tcPr>
          <w:p w14:paraId="71F6536A" w14:textId="1FBB004A" w:rsidR="00C26792" w:rsidRPr="00C26792" w:rsidRDefault="00C26792" w:rsidP="00C26792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7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7.G.B.5 – WALT</w:t>
            </w:r>
            <w:r w:rsidRPr="00C26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vertical angles, the pairs of opposite angles made by two intersecting lines, have equal measures</w:t>
            </w:r>
          </w:p>
        </w:tc>
        <w:tc>
          <w:tcPr>
            <w:tcW w:w="2878" w:type="dxa"/>
          </w:tcPr>
          <w:p w14:paraId="11EB0F8F" w14:textId="77777777" w:rsidR="00C26792" w:rsidRPr="0056576B" w:rsidRDefault="00C26792" w:rsidP="00C2679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C092C8" w14:textId="77777777" w:rsidR="00C26792" w:rsidRPr="0056576B" w:rsidRDefault="00C26792" w:rsidP="00C2679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3CBAE1D" w14:textId="77777777" w:rsidR="00C26792" w:rsidRPr="0056576B" w:rsidRDefault="00C26792" w:rsidP="00C2679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7E375DD" w14:textId="77777777" w:rsidR="00C26792" w:rsidRPr="0056576B" w:rsidRDefault="00C26792" w:rsidP="00C2679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C26792" w:rsidRPr="0056576B" w14:paraId="191FF665" w14:textId="77777777" w:rsidTr="00751F34">
        <w:trPr>
          <w:trHeight w:val="1349"/>
        </w:trPr>
        <w:tc>
          <w:tcPr>
            <w:tcW w:w="2878" w:type="dxa"/>
          </w:tcPr>
          <w:p w14:paraId="4F481CF3" w14:textId="6406D5D2" w:rsidR="00C26792" w:rsidRPr="00C26792" w:rsidRDefault="00C26792" w:rsidP="00C26792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7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7.G.B.5 – WALT</w:t>
            </w:r>
            <w:r w:rsidRPr="00C26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adjacent angles are two angles that share a vertex and a side</w:t>
            </w:r>
          </w:p>
        </w:tc>
        <w:tc>
          <w:tcPr>
            <w:tcW w:w="2878" w:type="dxa"/>
          </w:tcPr>
          <w:p w14:paraId="1C8B8373" w14:textId="77777777" w:rsidR="00C26792" w:rsidRPr="0056576B" w:rsidRDefault="00C26792" w:rsidP="00C2679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F3E9F35" w14:textId="77777777" w:rsidR="00C26792" w:rsidRPr="0056576B" w:rsidRDefault="00C26792" w:rsidP="00C2679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06E7239" w14:textId="77777777" w:rsidR="00C26792" w:rsidRPr="0056576B" w:rsidRDefault="00C26792" w:rsidP="00C2679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820B07F" w14:textId="77777777" w:rsidR="00C26792" w:rsidRPr="0056576B" w:rsidRDefault="00C26792" w:rsidP="00C2679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C26792" w:rsidRPr="0056576B" w14:paraId="297D2186" w14:textId="77777777" w:rsidTr="00751F34">
        <w:trPr>
          <w:trHeight w:val="1349"/>
        </w:trPr>
        <w:tc>
          <w:tcPr>
            <w:tcW w:w="2878" w:type="dxa"/>
          </w:tcPr>
          <w:p w14:paraId="7A3C36B6" w14:textId="7545C94E" w:rsidR="00C26792" w:rsidRPr="00C26792" w:rsidRDefault="00C26792" w:rsidP="00C26792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7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7.G.B.5 – WALT</w:t>
            </w:r>
            <w:r w:rsidRPr="00C26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use facts about supplementary, complementary, vertical and adjacent angles in a multi-step problem to write and solve simple equations for an unknown angle in a figure</w:t>
            </w:r>
          </w:p>
        </w:tc>
        <w:tc>
          <w:tcPr>
            <w:tcW w:w="2878" w:type="dxa"/>
          </w:tcPr>
          <w:p w14:paraId="730BE2E5" w14:textId="77777777" w:rsidR="00C26792" w:rsidRPr="0056576B" w:rsidRDefault="00C26792" w:rsidP="00C2679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A0C51EB" w14:textId="77777777" w:rsidR="00C26792" w:rsidRPr="0056576B" w:rsidRDefault="00C26792" w:rsidP="00C2679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5AF7F69" w14:textId="77777777" w:rsidR="00C26792" w:rsidRPr="0056576B" w:rsidRDefault="00C26792" w:rsidP="00C2679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8B7AD39" w14:textId="77777777" w:rsidR="00C26792" w:rsidRPr="0056576B" w:rsidRDefault="00C26792" w:rsidP="00C2679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2F10285E" w14:textId="77777777" w:rsidR="00A7522A" w:rsidRDefault="00A7522A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</w:p>
    <w:p w14:paraId="1FC49B33" w14:textId="18CDED2A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6E656" w14:textId="77777777" w:rsidR="001B7DBF" w:rsidRDefault="001B7DBF" w:rsidP="002E2912">
      <w:pPr>
        <w:spacing w:after="0" w:line="240" w:lineRule="auto"/>
      </w:pPr>
      <w:r>
        <w:separator/>
      </w:r>
    </w:p>
  </w:endnote>
  <w:endnote w:type="continuationSeparator" w:id="0">
    <w:p w14:paraId="2BABA0FB" w14:textId="77777777" w:rsidR="001B7DBF" w:rsidRDefault="001B7DBF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5A0B5" w14:textId="77777777" w:rsidR="00860BFB" w:rsidRDefault="00860B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34C7B" w14:textId="585A4C8B" w:rsidR="003F6042" w:rsidRPr="00BD23CD" w:rsidRDefault="003F6042" w:rsidP="003F6042">
    <w:pPr>
      <w:pStyle w:val="Footer"/>
      <w:rPr>
        <w:rFonts w:ascii="Arial" w:hAnsi="Arial" w:cs="Arial"/>
      </w:rPr>
    </w:pPr>
    <w:r w:rsidRPr="00BD23CD">
      <w:rPr>
        <w:rFonts w:ascii="Arial" w:hAnsi="Arial" w:cs="Arial"/>
      </w:rPr>
      <w:t>CAR_Mathematics-Gr.</w:t>
    </w:r>
    <w:r w:rsidR="00752A1F" w:rsidRPr="00BD23CD">
      <w:rPr>
        <w:rFonts w:ascii="Arial" w:hAnsi="Arial" w:cs="Arial"/>
      </w:rPr>
      <w:t>7</w:t>
    </w:r>
    <w:r w:rsidRPr="00BD23CD">
      <w:rPr>
        <w:rFonts w:ascii="Arial" w:hAnsi="Arial" w:cs="Arial"/>
      </w:rPr>
      <w:t xml:space="preserve">-Unit </w:t>
    </w:r>
    <w:r w:rsidR="00752A1F" w:rsidRPr="00BD23CD">
      <w:rPr>
        <w:rFonts w:ascii="Arial" w:hAnsi="Arial" w:cs="Arial"/>
      </w:rPr>
      <w:t>2</w:t>
    </w:r>
    <w:r w:rsidRPr="00BD23CD">
      <w:rPr>
        <w:rFonts w:ascii="Arial" w:hAnsi="Arial" w:cs="Arial"/>
      </w:rPr>
      <w:t xml:space="preserve">-Module </w:t>
    </w:r>
    <w:r w:rsidR="00752A1F" w:rsidRPr="00BD23CD">
      <w:rPr>
        <w:rFonts w:ascii="Arial" w:hAnsi="Arial" w:cs="Arial"/>
      </w:rPr>
      <w:t>C</w:t>
    </w:r>
    <w:r w:rsidRPr="00BD23CD">
      <w:rPr>
        <w:rFonts w:ascii="Arial" w:hAnsi="Arial" w:cs="Arial"/>
      </w:rPr>
      <w:ptab w:relativeTo="margin" w:alignment="center" w:leader="none"/>
    </w:r>
    <w:r w:rsidRPr="00BD23CD">
      <w:rPr>
        <w:rFonts w:ascii="Arial" w:hAnsi="Arial" w:cs="Arial"/>
      </w:rPr>
      <w:ptab w:relativeTo="margin" w:alignment="right" w:leader="none"/>
    </w:r>
    <w:r w:rsidRPr="00BD23CD">
      <w:rPr>
        <w:rFonts w:ascii="Arial" w:hAnsi="Arial" w:cs="Arial"/>
      </w:rPr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2D7D8" w14:textId="77777777" w:rsidR="00860BFB" w:rsidRDefault="00860B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BAA4F" w14:textId="77777777" w:rsidR="001B7DBF" w:rsidRDefault="001B7DBF" w:rsidP="002E2912">
      <w:pPr>
        <w:spacing w:after="0" w:line="240" w:lineRule="auto"/>
      </w:pPr>
      <w:r>
        <w:separator/>
      </w:r>
    </w:p>
  </w:footnote>
  <w:footnote w:type="continuationSeparator" w:id="0">
    <w:p w14:paraId="63E35CF2" w14:textId="77777777" w:rsidR="001B7DBF" w:rsidRDefault="001B7DBF" w:rsidP="002E2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36AA9" w14:textId="77777777" w:rsidR="00860BFB" w:rsidRDefault="00860B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D448A" w14:textId="77777777" w:rsidR="00860BFB" w:rsidRDefault="00860B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99916" w14:textId="77777777" w:rsidR="00860BFB" w:rsidRDefault="00860B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79"/>
    <w:rsid w:val="000014CD"/>
    <w:rsid w:val="000112B1"/>
    <w:rsid w:val="000178E8"/>
    <w:rsid w:val="00084A58"/>
    <w:rsid w:val="00094B93"/>
    <w:rsid w:val="000F6055"/>
    <w:rsid w:val="001040F5"/>
    <w:rsid w:val="001271BB"/>
    <w:rsid w:val="00153BCD"/>
    <w:rsid w:val="00166F4B"/>
    <w:rsid w:val="00196776"/>
    <w:rsid w:val="001B7DBF"/>
    <w:rsid w:val="00217079"/>
    <w:rsid w:val="00296971"/>
    <w:rsid w:val="002A5673"/>
    <w:rsid w:val="002E2912"/>
    <w:rsid w:val="003249DC"/>
    <w:rsid w:val="00360592"/>
    <w:rsid w:val="00363A81"/>
    <w:rsid w:val="003B521D"/>
    <w:rsid w:val="003E5759"/>
    <w:rsid w:val="003F6042"/>
    <w:rsid w:val="004405D2"/>
    <w:rsid w:val="004A3C78"/>
    <w:rsid w:val="005043E4"/>
    <w:rsid w:val="00523316"/>
    <w:rsid w:val="0056576B"/>
    <w:rsid w:val="005814B7"/>
    <w:rsid w:val="00597E7A"/>
    <w:rsid w:val="005F3DD1"/>
    <w:rsid w:val="005F7D5D"/>
    <w:rsid w:val="0060757B"/>
    <w:rsid w:val="00615045"/>
    <w:rsid w:val="00640ADB"/>
    <w:rsid w:val="00680847"/>
    <w:rsid w:val="00680862"/>
    <w:rsid w:val="00686315"/>
    <w:rsid w:val="006D6D6F"/>
    <w:rsid w:val="00707D79"/>
    <w:rsid w:val="00746B7D"/>
    <w:rsid w:val="00751F34"/>
    <w:rsid w:val="00752A1F"/>
    <w:rsid w:val="00753EDB"/>
    <w:rsid w:val="00756604"/>
    <w:rsid w:val="00775297"/>
    <w:rsid w:val="007A3CBD"/>
    <w:rsid w:val="007A50CE"/>
    <w:rsid w:val="007B1EF9"/>
    <w:rsid w:val="00800A4D"/>
    <w:rsid w:val="00825CE4"/>
    <w:rsid w:val="00831318"/>
    <w:rsid w:val="00832D26"/>
    <w:rsid w:val="00860BFB"/>
    <w:rsid w:val="00882FED"/>
    <w:rsid w:val="008E2274"/>
    <w:rsid w:val="008E2D2C"/>
    <w:rsid w:val="009161D1"/>
    <w:rsid w:val="00971E84"/>
    <w:rsid w:val="009720AD"/>
    <w:rsid w:val="00991F28"/>
    <w:rsid w:val="00993C56"/>
    <w:rsid w:val="009A15ED"/>
    <w:rsid w:val="00A04935"/>
    <w:rsid w:val="00A244D6"/>
    <w:rsid w:val="00A36DDC"/>
    <w:rsid w:val="00A36E5D"/>
    <w:rsid w:val="00A47D00"/>
    <w:rsid w:val="00A7522A"/>
    <w:rsid w:val="00AE60F0"/>
    <w:rsid w:val="00AE7BAB"/>
    <w:rsid w:val="00B013A0"/>
    <w:rsid w:val="00B10EA3"/>
    <w:rsid w:val="00B86739"/>
    <w:rsid w:val="00BD23CD"/>
    <w:rsid w:val="00C26792"/>
    <w:rsid w:val="00D2140D"/>
    <w:rsid w:val="00D42ED9"/>
    <w:rsid w:val="00D61E4D"/>
    <w:rsid w:val="00DF6C1D"/>
    <w:rsid w:val="00E47D15"/>
    <w:rsid w:val="00E71955"/>
    <w:rsid w:val="00F155CA"/>
    <w:rsid w:val="00F47A27"/>
    <w:rsid w:val="00F5249B"/>
    <w:rsid w:val="00F55A36"/>
    <w:rsid w:val="00F749C6"/>
    <w:rsid w:val="00F8157B"/>
    <w:rsid w:val="00FA6C34"/>
    <w:rsid w:val="00FE286A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746B7D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Elizabeth Thomas</cp:lastModifiedBy>
  <cp:revision>12</cp:revision>
  <dcterms:created xsi:type="dcterms:W3CDTF">2019-08-15T14:40:00Z</dcterms:created>
  <dcterms:modified xsi:type="dcterms:W3CDTF">2019-08-19T16:09:00Z</dcterms:modified>
</cp:coreProperties>
</file>